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интерактивных заданий. 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персональная образовательная среда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обеспечение информационной образовательной среды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ИКТ для обучения людей с ограниченными возможностями здоровья</w:t>
            </w:r>
          </w:p>
        </w:tc>
      </w:tr>
      <w:tr>
        <w:trPr>
          <w:trHeight w:hRule="exact" w:val="289.7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электронной персональной образовательной среды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интерактивных заданий. Использование интерактивной доски для работы с цифровыми образовательными ресурсами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pPr>
              <w:jc w:val="both"/>
              <w:spacing w:after="0" w:line="240" w:lineRule="auto"/>
              <w:rPr>
                <w:sz w:val="24"/>
                <w:szCs w:val="24"/>
              </w:rPr>
            </w:pPr>
            <w:r>
              <w:rPr>
                <w:rFonts w:ascii="Times New Roman" w:hAnsi="Times New Roman" w:cs="Times New Roman"/>
                <w:color w:val="#000000"/>
                <w:sz w:val="24"/>
                <w:szCs w:val="24"/>
              </w:rPr>
              <w:t> интерактивных ЦОР.Базовых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аппаратуры и программного обеспечения для рабочего места ученика с ограниченными возможностями здоровья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71.5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2022-2023_ФГОС3++2022_Бак-ОФО-ПО(ФК)(22)_plx_ИКТ и медиаинформационная грамотность</dc:title>
  <dc:creator>FastReport.NET</dc:creator>
</cp:coreProperties>
</file>